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宁德市市场监督管理局</w:t>
      </w: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</w:rPr>
        <w:t>推进企业信用修复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优化营商环境工作方案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为认真贯彻落实市委、市政府优化营商环境工作部署，鼓励违法失信企业主动纠正违法失信行为、消除不良影响、重塑良好信用，引导督促企业守法诚信经营，特制定本工作方案。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认真贯彻落实《国务院办公厅关于进一步完善失信约束制度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构建诚信建设长效机制的指导意见》（国办发〔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49</w:t>
      </w:r>
      <w:r>
        <w:rPr>
          <w:rFonts w:hint="eastAsia" w:ascii="仿宋_GB2312" w:eastAsia="仿宋_GB2312"/>
          <w:sz w:val="32"/>
          <w:szCs w:val="32"/>
        </w:rPr>
        <w:t>号）、《市场监督管理信用修复管理办法》等文件要求，以信用修复工作为抓手，综合运用吊销、注销、警示、协同监管、信用惩戒等措施，加强企业事中事后监管，提升企业基数质量，为全市经济又快又好发展营造健康有序的营商环境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二、工作内容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认真梳理辖区存量企业，重点加强对列入经营异常名录、严重违法失信企业的排查清理，本着“唤醒一批、注销一批、吊销一批”的原则，通过开展企业规范、吊销、注销工作，推进企业信用修复，确保企业存量清晰，依法守信经营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三、实施步骤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（一）梳理排查（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年3月1日至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各县（市、区）市场监管局根据辖区实际情况，对列异、列严企业进行分类梳理，重点梳理出一年未年报、连续两年未年报、长期未开展经营活动企业。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（二）清理规范（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“属地管理”的原则，对于通过电话、登记住所或经营场所能够取得联系的企业，督促其及时补报年报手续，申请移出经营异常名录；对于已经停业或者经营者无经营意愿的列异、列严企业，引导其办理注销登记手续，按照《宁德市发改委、市场监管局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部门关于做好信用领域突出问题治理有关工作的通知》（宁发改法规〔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号）的要求，依职责做好失信企业的注销登记；</w:t>
      </w:r>
      <w:r>
        <w:rPr>
          <w:rFonts w:hint="eastAsia" w:ascii="仿宋_GB2312" w:eastAsia="仿宋_GB2312" w:cs="仿宋_GB2312"/>
          <w:sz w:val="32"/>
          <w:szCs w:val="32"/>
        </w:rPr>
        <w:t>对于长期停业未开展经营活动、经现场检查在其登记的住所或经营场所无法取得联系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且连续两年未报税</w:t>
      </w:r>
      <w:r>
        <w:rPr>
          <w:rFonts w:hint="eastAsia" w:ascii="仿宋_GB2312" w:eastAsia="仿宋_GB2312" w:cs="仿宋_GB2312"/>
          <w:sz w:val="32"/>
          <w:szCs w:val="32"/>
        </w:rPr>
        <w:t>的公司、农民专业合作社、个人独资企业，收集相关证据，分别依据《中华人民共和国公司法》第二百一十一条、《</w:t>
      </w:r>
      <w:r>
        <w:fldChar w:fldCharType="begin"/>
      </w:r>
      <w:r>
        <w:instrText xml:space="preserve"> HYPERLINK "javascript:SLC(80995,0)" </w:instrText>
      </w:r>
      <w:r>
        <w:fldChar w:fldCharType="separate"/>
      </w:r>
      <w:r>
        <w:rPr>
          <w:rStyle w:val="6"/>
          <w:rFonts w:hint="eastAsia" w:ascii="仿宋_GB2312" w:eastAsia="仿宋_GB2312" w:cs="仿宋_GB2312"/>
          <w:color w:val="auto"/>
          <w:sz w:val="32"/>
          <w:szCs w:val="32"/>
          <w:u w:val="none"/>
        </w:rPr>
        <w:t>中华人民共和国农民专业合作社法</w:t>
      </w:r>
      <w:r>
        <w:rPr>
          <w:rStyle w:val="6"/>
          <w:rFonts w:hint="eastAsia" w:asci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》第七十一条、《中华人民共和国个人独资企业法</w:t>
      </w:r>
      <w:bookmarkStart w:id="0" w:name="BM36"/>
      <w:r>
        <w:rPr>
          <w:rFonts w:hint="eastAsia" w:ascii="仿宋_GB2312" w:eastAsia="仿宋_GB2312" w:cs="仿宋_GB2312"/>
          <w:sz w:val="32"/>
          <w:szCs w:val="32"/>
        </w:rPr>
        <w:t>》第三十六条</w:t>
      </w:r>
      <w:bookmarkEnd w:id="0"/>
      <w:r>
        <w:rPr>
          <w:rFonts w:hint="eastAsia" w:ascii="仿宋_GB2312" w:eastAsia="仿宋_GB2312" w:cs="仿宋_GB2312"/>
          <w:sz w:val="32"/>
          <w:szCs w:val="32"/>
        </w:rPr>
        <w:t>规定予以处理</w:t>
      </w:r>
      <w:r>
        <w:rPr>
          <w:rFonts w:hint="eastAsia" w:ascii="仿宋_GB2312" w:eastAsia="仿宋_GB2312"/>
          <w:sz w:val="32"/>
          <w:szCs w:val="32"/>
        </w:rPr>
        <w:t>；对于因通过登记住所无法取得联系列异满三年而列严的企业，督促其变更登记住所，申请移出严重违法失信名单。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通过清理规范，至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11月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日，古田、屏南、周宁、寿宁、柘荣列异企业数要减少</w:t>
      </w:r>
      <w:r>
        <w:rPr>
          <w:rFonts w:ascii="仿宋_GB2312" w:eastAsia="仿宋_GB2312"/>
          <w:sz w:val="32"/>
          <w:szCs w:val="32"/>
        </w:rPr>
        <w:t>20%</w:t>
      </w:r>
      <w:r>
        <w:rPr>
          <w:rFonts w:hint="eastAsia" w:ascii="仿宋_GB2312" w:eastAsia="仿宋_GB2312"/>
          <w:sz w:val="32"/>
          <w:szCs w:val="32"/>
        </w:rPr>
        <w:t>，列严企业数要减少10%；蕉城、东侨、霞浦、福鼎列异企业数要减少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，列严企业数要减少8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。福安列异企业要减少10%，列严企业要减少5%。（见附件1）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总结提升（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认真总结可复制可推广的经验做法，形成常态长效清理规范工作态势，建立完善企业退出机制。各县（市、区）市场监管局请于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日前上报工作情况总结。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四、工作要求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认真组织实施。失信企业清理规范工作，既是深化商事制度改革，落实“宽进严管”工作的职责要求，也是维护市场经营主体数据真实有效，激发企业活力，优化营商环境的具体举措。各级各部门要高度重视，把依法清理规范失信企业作为一项重要的日常性工作，认真组织实施，主要负责人要亲自抓、负总责，落实职责分工，做到责任明确、责任到人，采取有效措施，做好清理工作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（二）准确填写年报。</w:t>
      </w:r>
      <w:r>
        <w:rPr>
          <w:rFonts w:ascii="仿宋_GB2312" w:eastAsia="仿宋_GB2312"/>
          <w:sz w:val="32"/>
          <w:szCs w:val="32"/>
        </w:rPr>
        <w:t>2-6</w:t>
      </w:r>
      <w:r>
        <w:rPr>
          <w:rFonts w:hint="eastAsia" w:ascii="仿宋_GB2312" w:eastAsia="仿宋_GB2312"/>
          <w:sz w:val="32"/>
          <w:szCs w:val="32"/>
        </w:rPr>
        <w:t>月企业年报公示期间，各县（市、区）局要引导企业准确、真实填写年报数据，避免因公示企业信息弄虚作假而被列异。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（三）严格依法开展。要严格依照法律法规的规定，把握时间节点，严格执法程序，依法依规开展清理规范工作，做到时间过半任务过半，确保合法有序地完成工作任务。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（四）争取支持配合。要主动向地方党委、政府汇报工作，取得重视和支持，加强与税务、人社、银行等部门的沟通联系，赢得支持和配合。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五）加强督查通报。要加大督导检查力度，采取督查、通报等方式，加强对清理工作落实和任务完成情况的督促检查。市市场监管局将采取通报形式，实时跟进、检查、督导各县（市、区）市场监管局的工作落实情况，并将各县（市、区）局清理工作的完成情况作为市对县营商环境考评、综治考评的参考指标。对工作中的好经验和好做法予以推广，对工作成效明显的地方予以通报表扬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联系人：余翔    电话：8931037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revisionView w:markup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F1"/>
    <w:rsid w:val="00004CE0"/>
    <w:rsid w:val="000401FF"/>
    <w:rsid w:val="000A6DF9"/>
    <w:rsid w:val="000D465F"/>
    <w:rsid w:val="000E2965"/>
    <w:rsid w:val="000F4173"/>
    <w:rsid w:val="001053F1"/>
    <w:rsid w:val="00144046"/>
    <w:rsid w:val="001649CC"/>
    <w:rsid w:val="00172B09"/>
    <w:rsid w:val="001918A3"/>
    <w:rsid w:val="001D5931"/>
    <w:rsid w:val="00212A91"/>
    <w:rsid w:val="00273728"/>
    <w:rsid w:val="002C76DD"/>
    <w:rsid w:val="00346F5F"/>
    <w:rsid w:val="0039433E"/>
    <w:rsid w:val="004302C7"/>
    <w:rsid w:val="00542C42"/>
    <w:rsid w:val="00550DA5"/>
    <w:rsid w:val="0058624C"/>
    <w:rsid w:val="005D4FCC"/>
    <w:rsid w:val="005F1195"/>
    <w:rsid w:val="00621D0D"/>
    <w:rsid w:val="006E47C9"/>
    <w:rsid w:val="00702DAA"/>
    <w:rsid w:val="00705117"/>
    <w:rsid w:val="00777600"/>
    <w:rsid w:val="00780459"/>
    <w:rsid w:val="0079396C"/>
    <w:rsid w:val="007E21AB"/>
    <w:rsid w:val="00845656"/>
    <w:rsid w:val="008E0E27"/>
    <w:rsid w:val="00914ED9"/>
    <w:rsid w:val="009B13AC"/>
    <w:rsid w:val="009B53F1"/>
    <w:rsid w:val="00A05C77"/>
    <w:rsid w:val="00A11FD6"/>
    <w:rsid w:val="00A3429E"/>
    <w:rsid w:val="00A34DB2"/>
    <w:rsid w:val="00AB4E82"/>
    <w:rsid w:val="00AB61F1"/>
    <w:rsid w:val="00B13EFC"/>
    <w:rsid w:val="00BD1C8A"/>
    <w:rsid w:val="00CB78C8"/>
    <w:rsid w:val="00CD5556"/>
    <w:rsid w:val="00EA2650"/>
    <w:rsid w:val="00EB2B57"/>
    <w:rsid w:val="00EB33A6"/>
    <w:rsid w:val="00EB6B69"/>
    <w:rsid w:val="00EE6C34"/>
    <w:rsid w:val="00EF493B"/>
    <w:rsid w:val="00F246FE"/>
    <w:rsid w:val="00F92DC2"/>
    <w:rsid w:val="00FE0AB9"/>
    <w:rsid w:val="FD9FA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1535</Words>
  <Characters>152</Characters>
  <Lines>1</Lines>
  <Paragraphs>3</Paragraphs>
  <TotalTime>1</TotalTime>
  <ScaleCrop>false</ScaleCrop>
  <LinksUpToDate>false</LinksUpToDate>
  <CharactersWithSpaces>1684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2022-10-24T11:01:00Z</dcterms:created>
  <dc:creator>余翔</dc:creator>
  <cp:lastModifiedBy>余翔</cp:lastModifiedBy>
  <cp:lastPrinted>2022-02-16T10:16:00Z</cp:lastPrinted>
  <dcterms:modified xsi:type="dcterms:W3CDTF">2022-10-24T11:21:47Z</dcterms:modified>
  <dc:title>宁德市市场监督管理局推进企业信用修复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